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oek5pijezffu" w:id="0"/>
      <w:bookmarkEnd w:id="0"/>
      <w:r w:rsidDel="00000000" w:rsidR="00000000" w:rsidRPr="00000000">
        <w:rPr>
          <w:rtl w:val="0"/>
        </w:rPr>
        <w:t xml:space="preserve">Operationalizing the Aptlantis Ecosystem: The Future of Workspace Governance</w:t>
      </w:r>
    </w:p>
    <w:p w:rsidR="00000000" w:rsidDel="00000000" w:rsidP="00000000" w:rsidRDefault="00000000" w:rsidRPr="00000000" w14:paraId="00000002">
      <w:pPr>
        <w:pStyle w:val="Heading5"/>
        <w:rPr/>
      </w:pPr>
      <w:bookmarkStart w:colFirst="0" w:colLast="0" w:name="_9j6kvtf5a8dz" w:id="1"/>
      <w:bookmarkEnd w:id="1"/>
      <w:r w:rsidDel="00000000" w:rsidR="00000000" w:rsidRPr="00000000">
        <w:rPr>
          <w:rtl w:val="0"/>
        </w:rPr>
        <w:t xml:space="preserve">1. The Strategic Shift: From Repository Chaos to Governed Ecosystem</w:t>
      </w:r>
    </w:p>
    <w:p w:rsidR="00000000" w:rsidDel="00000000" w:rsidP="00000000" w:rsidRDefault="00000000" w:rsidRPr="00000000" w14:paraId="00000003">
      <w:pPr>
        <w:rPr>
          <w:b w:val="1"/>
          <w:bCs w:val="1"/>
        </w:rPr>
      </w:pPr>
      <w:r w:rsidDel="00000000" w:rsidR="00000000" w:rsidRPr="00000000">
        <w:rPr>
          <w:rtl w:val="0"/>
        </w:rPr>
        <w:t xml:space="preserve">The evolution of our development environment has reached a critical architectural threshold. We are moving beyond the management of isolated repositories—which inevitably succumb to architectural entropy and become a "graveyard of prototypes"—to a holistic  </w:t>
      </w:r>
      <w:r w:rsidDel="00000000" w:rsidR="00000000" w:rsidRPr="00000000">
        <w:rPr>
          <w:b w:val="1"/>
          <w:bCs w:val="1"/>
          <w:rtl w:val="0"/>
        </w:rPr>
        <w:t xml:space="preserve">Project Operating System</w:t>
      </w:r>
      <w:r w:rsidDel="00000000" w:rsidR="00000000" w:rsidRPr="00000000">
        <w:rPr>
          <w:rtl w:val="0"/>
        </w:rPr>
        <w:t xml:space="preserve">  governed by the  </w:t>
      </w:r>
      <w:r w:rsidDel="00000000" w:rsidR="00000000" w:rsidRPr="00000000">
        <w:rPr>
          <w:b w:val="1"/>
          <w:bCs w:val="1"/>
          <w:rtl w:val="0"/>
        </w:rPr>
        <w:t xml:space="preserve">Workspace Governance Standard (WGS)</w:t>
      </w:r>
      <w:r w:rsidDel="00000000" w:rsidR="00000000" w:rsidRPr="00000000">
        <w:rPr>
          <w:rtl w:val="0"/>
        </w:rPr>
        <w:t xml:space="preserve"> . This shift is a calculated strike against the "Interpretation Tax" paid by AI agents. By replacing ambiguous directory structures with a self-describing constitution, we eliminate the computational tokens and human cycles wasted when agents must guess at the intent, boundaries, and maturity of a project. WGS ensures that every project is a structured citizen of a larger, multi-generational software ecosystem.</w:t>
      </w:r>
      <w:r w:rsidDel="00000000" w:rsidR="00000000" w:rsidRPr="00000000">
        <w:rPr>
          <w:b w:val="1"/>
          <w:bCs w:val="1"/>
          <w:rtl w:val="0"/>
        </w:rPr>
        <w:t xml:space="preserve">The Ecosystem Constitution</w:t>
      </w:r>
    </w:p>
    <w:p w:rsidR="00000000" w:rsidDel="00000000" w:rsidP="00000000" w:rsidRDefault="00000000" w:rsidRPr="00000000" w14:paraId="00000004">
      <w:pPr>
        <w:numPr>
          <w:ilvl w:val="0"/>
          <w:numId w:val="3"/>
        </w:numPr>
        <w:ind w:left="720" w:hanging="360"/>
        <w:rPr>
          <w:b w:val="1"/>
          <w:bCs w:val="1"/>
          <w:u w:val="none"/>
        </w:rPr>
      </w:pPr>
      <w:r w:rsidDel="00000000" w:rsidR="00000000" w:rsidRPr="00000000">
        <w:rPr>
          <w:b w:val="1"/>
          <w:bCs w:val="1"/>
          <w:rtl w:val="0"/>
        </w:rPr>
        <w:t xml:space="preserve">Projects create artifacts;</w:t>
      </w:r>
    </w:p>
    <w:p w:rsidR="00000000" w:rsidDel="00000000" w:rsidP="00000000" w:rsidRDefault="00000000" w:rsidRPr="00000000" w14:paraId="00000005">
      <w:pPr>
        <w:numPr>
          <w:ilvl w:val="0"/>
          <w:numId w:val="3"/>
        </w:numPr>
        <w:ind w:left="720" w:hanging="360"/>
        <w:rPr>
          <w:b w:val="1"/>
          <w:bCs w:val="1"/>
        </w:rPr>
      </w:pPr>
      <w:r w:rsidDel="00000000" w:rsidR="00000000" w:rsidRPr="00000000">
        <w:rPr>
          <w:b w:val="1"/>
          <w:bCs w:val="1"/>
          <w:rtl w:val="0"/>
        </w:rPr>
        <w:t xml:space="preserve">Standards govern projects;</w:t>
      </w:r>
    </w:p>
    <w:p w:rsidR="00000000" w:rsidDel="00000000" w:rsidP="00000000" w:rsidRDefault="00000000" w:rsidRPr="00000000" w14:paraId="00000006">
      <w:pPr>
        <w:numPr>
          <w:ilvl w:val="0"/>
          <w:numId w:val="3"/>
        </w:numPr>
        <w:ind w:left="720" w:hanging="360"/>
        <w:rPr>
          <w:u w:val="none"/>
        </w:rPr>
      </w:pPr>
      <w:r w:rsidDel="00000000" w:rsidR="00000000" w:rsidRPr="00000000">
        <w:rPr>
          <w:b w:val="1"/>
          <w:bCs w:val="1"/>
          <w:rtl w:val="0"/>
        </w:rPr>
        <w:t xml:space="preserve">WGS governs the workspace.</w:t>
      </w:r>
      <w:r w:rsidDel="00000000" w:rsidR="00000000" w:rsidRPr="00000000">
        <w:rPr>
          <w:rtl w:val="0"/>
        </w:rPr>
        <w:t xml:space="preserve">To ensure long-term resilience, the following "Operating Philosophy" mandates are enforced across all Aptlantis projects:</w:t>
      </w:r>
    </w:p>
    <w:p w:rsidR="00000000" w:rsidDel="00000000" w:rsidP="00000000" w:rsidRDefault="00000000" w:rsidRPr="00000000" w14:paraId="00000007">
      <w:pPr>
        <w:numPr>
          <w:ilvl w:val="0"/>
          <w:numId w:val="3"/>
        </w:numPr>
        <w:ind w:left="720" w:hanging="360"/>
        <w:rPr>
          <w:u w:val="none"/>
        </w:rPr>
      </w:pPr>
      <w:r w:rsidDel="00000000" w:rsidR="00000000" w:rsidRPr="00000000">
        <w:rPr>
          <w:b w:val="1"/>
          <w:bCs w:val="1"/>
          <w:rtl w:val="0"/>
        </w:rPr>
        <w:t xml:space="preserve">Local-first by default:</w:t>
      </w:r>
      <w:r w:rsidDel="00000000" w:rsidR="00000000" w:rsidRPr="00000000">
        <w:rPr>
          <w:rtl w:val="0"/>
        </w:rPr>
        <w:t xml:space="preserve">  Tools must remain fully functional without dependence on hosted services to survive environmental shifts.</w:t>
      </w:r>
    </w:p>
    <w:p w:rsidR="00000000" w:rsidDel="00000000" w:rsidP="00000000" w:rsidRDefault="00000000" w:rsidRPr="00000000" w14:paraId="00000008">
      <w:pPr>
        <w:numPr>
          <w:ilvl w:val="0"/>
          <w:numId w:val="3"/>
        </w:numPr>
        <w:ind w:left="720" w:hanging="360"/>
        <w:rPr>
          <w:u w:val="none"/>
        </w:rPr>
      </w:pPr>
      <w:r w:rsidDel="00000000" w:rsidR="00000000" w:rsidRPr="00000000">
        <w:rPr>
          <w:b w:val="1"/>
          <w:bCs w:val="1"/>
          <w:rtl w:val="0"/>
        </w:rPr>
        <w:t xml:space="preserve">Integrity is a feature:</w:t>
      </w:r>
      <w:r w:rsidDel="00000000" w:rsidR="00000000" w:rsidRPr="00000000">
        <w:rPr>
          <w:rtl w:val="0"/>
        </w:rPr>
        <w:t xml:space="preserve">  Hashes, manifests, and release notes are primary product components, not administrative afterthoughts.</w:t>
      </w:r>
    </w:p>
    <w:p w:rsidR="00000000" w:rsidDel="00000000" w:rsidP="00000000" w:rsidRDefault="00000000" w:rsidRPr="00000000" w14:paraId="00000009">
      <w:pPr>
        <w:numPr>
          <w:ilvl w:val="0"/>
          <w:numId w:val="3"/>
        </w:numPr>
        <w:ind w:left="720" w:hanging="360"/>
        <w:rPr>
          <w:u w:val="none"/>
        </w:rPr>
      </w:pPr>
      <w:r w:rsidDel="00000000" w:rsidR="00000000" w:rsidRPr="00000000">
        <w:rPr>
          <w:b w:val="1"/>
          <w:bCs w:val="1"/>
          <w:rtl w:val="0"/>
        </w:rPr>
        <w:t xml:space="preserve">Metadata matters:</w:t>
      </w:r>
      <w:r w:rsidDel="00000000" w:rsidR="00000000" w:rsidRPr="00000000">
        <w:rPr>
          <w:rtl w:val="0"/>
        </w:rPr>
        <w:t xml:space="preserve">  Every file, dataset, and command must carry the provenance and metadata required to explain its own existence.</w:t>
      </w:r>
    </w:p>
    <w:p w:rsidR="00000000" w:rsidDel="00000000" w:rsidP="00000000" w:rsidRDefault="00000000" w:rsidRPr="00000000" w14:paraId="0000000A">
      <w:pPr>
        <w:numPr>
          <w:ilvl w:val="0"/>
          <w:numId w:val="3"/>
        </w:numPr>
        <w:ind w:left="720" w:hanging="360"/>
        <w:rPr>
          <w:u w:val="none"/>
        </w:rPr>
      </w:pPr>
      <w:r w:rsidDel="00000000" w:rsidR="00000000" w:rsidRPr="00000000">
        <w:rPr>
          <w:b w:val="1"/>
          <w:bCs w:val="1"/>
          <w:rtl w:val="0"/>
        </w:rPr>
        <w:t xml:space="preserve">Operator-centered design:</w:t>
      </w:r>
      <w:r w:rsidDel="00000000" w:rsidR="00000000" w:rsidRPr="00000000">
        <w:rPr>
          <w:rtl w:val="0"/>
        </w:rPr>
        <w:t xml:space="preserve">  Development is prioritized by real-world workflow friction rather than technical trend-chasing.</w:t>
      </w:r>
    </w:p>
    <w:p w:rsidR="00000000" w:rsidDel="00000000" w:rsidP="00000000" w:rsidRDefault="00000000" w:rsidRPr="00000000" w14:paraId="0000000B">
      <w:pPr>
        <w:numPr>
          <w:ilvl w:val="0"/>
          <w:numId w:val="3"/>
        </w:numPr>
        <w:ind w:left="720" w:hanging="360"/>
        <w:rPr>
          <w:u w:val="none"/>
        </w:rPr>
      </w:pPr>
      <w:r w:rsidDel="00000000" w:rsidR="00000000" w:rsidRPr="00000000">
        <w:rPr>
          <w:b w:val="1"/>
          <w:bCs w:val="1"/>
          <w:rtl w:val="0"/>
        </w:rPr>
        <w:t xml:space="preserve">Preservation over polish:</w:t>
      </w:r>
      <w:r w:rsidDel="00000000" w:rsidR="00000000" w:rsidRPr="00000000">
        <w:rPr>
          <w:rtl w:val="0"/>
        </w:rPr>
        <w:t xml:space="preserve">  Durable, recoverable artifacts and context preservation are valued more highly than transient aesthetic trends.This strategic foundation is technically anchored through the mandatory implementation of the Workspace Manifest.</w:t>
      </w:r>
    </w:p>
    <w:p w:rsidR="00000000" w:rsidDel="00000000" w:rsidP="00000000" w:rsidRDefault="00000000" w:rsidRPr="00000000" w14:paraId="0000000C">
      <w:pPr>
        <w:pStyle w:val="Heading5"/>
        <w:rPr/>
      </w:pPr>
      <w:bookmarkStart w:colFirst="0" w:colLast="0" w:name="_wf8rqmcpae42" w:id="2"/>
      <w:bookmarkEnd w:id="2"/>
      <w:r w:rsidDel="00000000" w:rsidR="00000000" w:rsidRPr="00000000">
        <w:rPr>
          <w:rtl w:val="0"/>
        </w:rPr>
        <w:t xml:space="preserve">2. The Workspace Manifest: The Authoritative Entry Point</w:t>
      </w:r>
    </w:p>
    <w:p w:rsidR="00000000" w:rsidDel="00000000" w:rsidP="00000000" w:rsidRDefault="00000000" w:rsidRPr="00000000" w14:paraId="0000000D">
      <w:pPr>
        <w:rPr>
          <w:b w:val="1"/>
          <w:bCs w:val="1"/>
        </w:rPr>
      </w:pPr>
      <w:r w:rsidDel="00000000" w:rsidR="00000000" w:rsidRPr="00000000">
        <w:rPr>
          <w:rtl w:val="0"/>
        </w:rPr>
        <w:t xml:space="preserve">The Workspace Manifest serves as the machine-readable "Data Spine" of the Aptlantis environment. Standardized in TOML to eliminate parsing ambiguity, this manifest provides AI agents with a single source of truth for environmental navigation. By consulting this authoritative entry point, agents bypass manual directory traversal, gaining an immediate understanding of the workspace's total inventory, governing rules, and structural taxonomy.</w:t>
      </w:r>
      <w:r w:rsidDel="00000000" w:rsidR="00000000" w:rsidRPr="00000000">
        <w:rPr>
          <w:b w:val="1"/>
          <w:bCs w:val="1"/>
          <w:rtl w:val="0"/>
        </w:rPr>
        <w:t xml:space="preserve">Workspace Architecture: workspace.manifest.toml</w:t>
      </w:r>
    </w:p>
    <w:p w:rsidR="00000000" w:rsidDel="00000000" w:rsidP="00000000" w:rsidRDefault="00000000" w:rsidRPr="00000000" w14:paraId="0000000E">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[workspace]</w:t>
      </w:r>
    </w:p>
    <w:p w:rsidR="00000000" w:rsidDel="00000000" w:rsidP="00000000" w:rsidRDefault="00000000" w:rsidRPr="00000000" w14:paraId="0000000F">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id = "aptlantis"</w:t>
      </w:r>
    </w:p>
    <w:p w:rsidR="00000000" w:rsidDel="00000000" w:rsidP="00000000" w:rsidRDefault="00000000" w:rsidRPr="00000000" w14:paraId="00000010">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workspace_standard = "WGS-v1.0"</w:t>
      </w:r>
    </w:p>
    <w:p w:rsidR="00000000" w:rsidDel="00000000" w:rsidP="00000000" w:rsidRDefault="00000000" w:rsidRPr="00000000" w14:paraId="00000011">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maintainer = "APTlantis"</w:t>
      </w:r>
    </w:p>
    <w:p w:rsidR="00000000" w:rsidDel="00000000" w:rsidP="00000000" w:rsidRDefault="00000000" w:rsidRPr="00000000" w14:paraId="00000012">
      <w:pPr>
        <w:shd w:fill="f0f0f0" w:val="clea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3">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[statistics]</w:t>
      </w:r>
    </w:p>
    <w:p w:rsidR="00000000" w:rsidDel="00000000" w:rsidP="00000000" w:rsidRDefault="00000000" w:rsidRPr="00000000" w14:paraId="00000014">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total_projects = 30</w:t>
      </w:r>
    </w:p>
    <w:p w:rsidR="00000000" w:rsidDel="00000000" w:rsidP="00000000" w:rsidRDefault="00000000" w:rsidRPr="00000000" w14:paraId="00000015">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production_projects = 19</w:t>
      </w:r>
    </w:p>
    <w:p w:rsidR="00000000" w:rsidDel="00000000" w:rsidP="00000000" w:rsidRDefault="00000000" w:rsidRPr="00000000" w14:paraId="00000016">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in_progress_projects = 8</w:t>
      </w:r>
    </w:p>
    <w:p w:rsidR="00000000" w:rsidDel="00000000" w:rsidP="00000000" w:rsidRDefault="00000000" w:rsidRPr="00000000" w14:paraId="00000017">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active_projects = 3</w:t>
      </w:r>
    </w:p>
    <w:p w:rsidR="00000000" w:rsidDel="00000000" w:rsidP="00000000" w:rsidRDefault="00000000" w:rsidRPr="00000000" w14:paraId="00000018">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average_completion = "83.3%"</w:t>
      </w:r>
    </w:p>
    <w:p w:rsidR="00000000" w:rsidDel="00000000" w:rsidP="00000000" w:rsidRDefault="00000000" w:rsidRPr="00000000" w14:paraId="00000019">
      <w:pPr>
        <w:shd w:fill="f0f0f0" w:val="clea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A">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[standards]</w:t>
      </w:r>
    </w:p>
    <w:p w:rsidR="00000000" w:rsidDel="00000000" w:rsidP="00000000" w:rsidRDefault="00000000" w:rsidRPr="00000000" w14:paraId="0000001B">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governance = "WGS-v1.0"</w:t>
      </w:r>
    </w:p>
    <w:p w:rsidR="00000000" w:rsidDel="00000000" w:rsidP="00000000" w:rsidRDefault="00000000" w:rsidRPr="00000000" w14:paraId="0000001C">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release_desktop = "DRS-v1.0"</w:t>
      </w:r>
    </w:p>
    <w:p w:rsidR="00000000" w:rsidDel="00000000" w:rsidP="00000000" w:rsidRDefault="00000000" w:rsidRPr="00000000" w14:paraId="0000001D">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release_cli = "CTS-v1.0 (Planned)"</w:t>
      </w:r>
    </w:p>
    <w:p w:rsidR="00000000" w:rsidDel="00000000" w:rsidP="00000000" w:rsidRDefault="00000000" w:rsidRPr="00000000" w14:paraId="0000001E">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integrity = "AAMHS-v2.0"</w:t>
      </w:r>
    </w:p>
    <w:p w:rsidR="00000000" w:rsidDel="00000000" w:rsidP="00000000" w:rsidRDefault="00000000" w:rsidRPr="00000000" w14:paraId="0000001F">
      <w:pPr>
        <w:shd w:fill="f0f0f0" w:val="clea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0">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[directories]</w:t>
      </w:r>
    </w:p>
    <w:p w:rsidR="00000000" w:rsidDel="00000000" w:rsidP="00000000" w:rsidRDefault="00000000" w:rsidRPr="00000000" w14:paraId="00000021">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E:\01-Desktop-Apps = "Governed by DRS; Production-grade GUI tools"</w:t>
      </w:r>
    </w:p>
    <w:p w:rsidR="00000000" w:rsidDel="00000000" w:rsidP="00000000" w:rsidRDefault="00000000" w:rsidRPr="00000000" w14:paraId="00000022">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E:\02-CLI-Tools    = "Governed by CTS; Automation and pipeline utilities"</w:t>
      </w:r>
    </w:p>
    <w:p w:rsidR="00000000" w:rsidDel="00000000" w:rsidP="00000000" w:rsidRDefault="00000000" w:rsidRPr="00000000" w14:paraId="00000023">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E:\03-Datasets     = "Structured corpora, metadata, and training sets"</w:t>
      </w:r>
    </w:p>
    <w:p w:rsidR="00000000" w:rsidDel="00000000" w:rsidP="00000000" w:rsidRDefault="00000000" w:rsidRPr="00000000" w14:paraId="00000024">
      <w:pPr>
        <w:shd w:fill="f0f0f0" w:val="clear"/>
        <w:rPr>
          <w:rFonts w:ascii="Courier New" w:cs="Courier New" w:eastAsia="Courier New" w:hAnsi="Courier New"/>
        </w:rPr>
      </w:pPr>
      <w:r w:rsidDel="00000000" w:rsidR="00000000" w:rsidRPr="00000000">
        <w:rPr>
          <w:rFonts w:ascii="Courier New" w:cs="Courier New" w:eastAsia="Courier New" w:hAnsi="Courier New"/>
          <w:rtl w:val="0"/>
        </w:rPr>
        <w:t xml:space="preserve">E:\04-Websites     = "Governed by WDS; Web properties and visualizations"</w:t>
      </w:r>
    </w:p>
    <w:p w:rsidR="00000000" w:rsidDel="00000000" w:rsidP="00000000" w:rsidRDefault="00000000" w:rsidRPr="00000000" w14:paraId="00000025">
      <w:pPr>
        <w:shd w:fill="f0f0f0" w:val="clea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This authoritative entry point enables high-precision  </w:t>
      </w:r>
      <w:r w:rsidDel="00000000" w:rsidR="00000000" w:rsidRPr="00000000">
        <w:rPr>
          <w:b w:val="1"/>
          <w:bCs w:val="1"/>
          <w:rtl w:val="0"/>
        </w:rPr>
        <w:t xml:space="preserve">"Intent Search"</w:t>
      </w:r>
      <w:r w:rsidDel="00000000" w:rsidR="00000000" w:rsidRPr="00000000">
        <w:rPr>
          <w:rtl w:val="0"/>
        </w:rPr>
        <w:t xml:space="preserve">  across the ecosystem. While the Workspace Manifest maps the E:\ taxonomy, it informs the agent that shared services—including the standard library (.docs) and health audits (.evals)—reside on the D:\ drive for maximum portability. By unifying these drives through a governed manifest, agents can query for specific technical capabilities (e.g., "Find all production-ready CLI tools utilizing AAMHS") and navigate directly to the correct coordinate without "discovery" overhead.</w:t>
      </w:r>
    </w:p>
    <w:p w:rsidR="00000000" w:rsidDel="00000000" w:rsidP="00000000" w:rsidRDefault="00000000" w:rsidRPr="00000000" w14:paraId="00000027">
      <w:pPr>
        <w:pStyle w:val="Heading5"/>
        <w:rPr/>
      </w:pPr>
      <w:bookmarkStart w:colFirst="0" w:colLast="0" w:name="_vspmecgqvnqw" w:id="3"/>
      <w:bookmarkEnd w:id="3"/>
      <w:r w:rsidDel="00000000" w:rsidR="00000000" w:rsidRPr="00000000">
        <w:rPr>
          <w:rtl w:val="0"/>
        </w:rPr>
        <w:t xml:space="preserve">3. The Project Relationship Graph: Mapping Ecosystem Interconnectivity</w:t>
      </w:r>
    </w:p>
    <w:p w:rsidR="00000000" w:rsidDel="00000000" w:rsidP="00000000" w:rsidRDefault="00000000" w:rsidRPr="00000000" w14:paraId="00000028">
      <w:pPr>
        <w:rPr/>
      </w:pPr>
      <w:r w:rsidDel="00000000" w:rsidR="00000000" w:rsidRPr="00000000">
        <w:rPr>
          <w:rtl w:val="0"/>
        </w:rPr>
        <w:t xml:space="preserve">Metadata within Aptlantis is not a static record; it is the raw material for a dynamic relationship graph. By evolving simple metadata into a graph of interconnectivity, agents can reason across dependencies and production pipelines, understanding how changes in core design systems propagate through the ecosystem.The following dependency flow demonstrates the current interconnectivity of core standards and projects:</w:t>
      </w:r>
    </w:p>
    <w:p w:rsidR="00000000" w:rsidDel="00000000" w:rsidP="00000000" w:rsidRDefault="00000000" w:rsidRPr="00000000" w14:paraId="00000029">
      <w:pPr>
        <w:numPr>
          <w:ilvl w:val="0"/>
          <w:numId w:val="4"/>
        </w:numPr>
        <w:ind w:left="720" w:hanging="360"/>
        <w:rPr>
          <w:b w:val="1"/>
          <w:bCs w:val="1"/>
          <w:u w:val="none"/>
        </w:rPr>
      </w:pPr>
      <w:r w:rsidDel="00000000" w:rsidR="00000000" w:rsidRPr="00000000">
        <w:rPr>
          <w:b w:val="1"/>
          <w:bCs w:val="1"/>
          <w:rtl w:val="0"/>
        </w:rPr>
        <w:t xml:space="preserve">NeonInk (Root Design System)</w:t>
      </w:r>
    </w:p>
    <w:p w:rsidR="00000000" w:rsidDel="00000000" w:rsidP="00000000" w:rsidRDefault="00000000" w:rsidRPr="00000000" w14:paraId="0000002A">
      <w:pPr>
        <w:numPr>
          <w:ilvl w:val="0"/>
          <w:numId w:val="4"/>
        </w:numPr>
        <w:ind w:left="720" w:hanging="360"/>
        <w:rPr>
          <w:u w:val="none"/>
        </w:rPr>
      </w:pPr>
      <w:r w:rsidDel="00000000" w:rsidR="00000000" w:rsidRPr="00000000">
        <w:rPr>
          <w:b w:val="1"/>
          <w:bCs w:val="1"/>
          <w:rtl w:val="0"/>
        </w:rPr>
        <w:t xml:space="preserve">Structra:</w:t>
      </w:r>
      <w:r w:rsidDel="00000000" w:rsidR="00000000" w:rsidRPr="00000000">
        <w:rPr>
          <w:rtl w:val="0"/>
        </w:rPr>
        <w:t xml:space="preserve">  Consumes NeonInk for visual structured-data building and architecture modeling.</w:t>
      </w:r>
    </w:p>
    <w:p w:rsidR="00000000" w:rsidDel="00000000" w:rsidP="00000000" w:rsidRDefault="00000000" w:rsidRPr="00000000" w14:paraId="0000002B">
      <w:pPr>
        <w:numPr>
          <w:ilvl w:val="0"/>
          <w:numId w:val="4"/>
        </w:numPr>
        <w:ind w:left="720" w:hanging="360"/>
        <w:rPr>
          <w:u w:val="none"/>
        </w:rPr>
      </w:pPr>
      <w:r w:rsidDel="00000000" w:rsidR="00000000" w:rsidRPr="00000000">
        <w:rPr>
          <w:b w:val="1"/>
          <w:bCs w:val="1"/>
          <w:rtl w:val="0"/>
        </w:rPr>
        <w:t xml:space="preserve">AptlantisConsole:</w:t>
      </w:r>
      <w:r w:rsidDel="00000000" w:rsidR="00000000" w:rsidRPr="00000000">
        <w:rPr>
          <w:rtl w:val="0"/>
        </w:rPr>
        <w:t xml:space="preserve">  Consumes NeonInk to provide a high-density, semantic DevOps dashboard.</w:t>
      </w:r>
    </w:p>
    <w:p w:rsidR="00000000" w:rsidDel="00000000" w:rsidP="00000000" w:rsidRDefault="00000000" w:rsidRPr="00000000" w14:paraId="0000002C">
      <w:pPr>
        <w:numPr>
          <w:ilvl w:val="0"/>
          <w:numId w:val="4"/>
        </w:numPr>
        <w:ind w:left="720" w:hanging="360"/>
        <w:rPr>
          <w:b w:val="1"/>
          <w:bCs w:val="1"/>
        </w:rPr>
      </w:pPr>
      <w:r w:rsidDel="00000000" w:rsidR="00000000" w:rsidRPr="00000000">
        <w:rPr>
          <w:b w:val="1"/>
          <w:bCs w:val="1"/>
          <w:rtl w:val="0"/>
        </w:rPr>
        <w:t xml:space="preserve">AAMHS (Integrity Layer)</w:t>
      </w:r>
    </w:p>
    <w:p w:rsidR="00000000" w:rsidDel="00000000" w:rsidP="00000000" w:rsidRDefault="00000000" w:rsidRPr="00000000" w14:paraId="0000002D">
      <w:pPr>
        <w:numPr>
          <w:ilvl w:val="0"/>
          <w:numId w:val="4"/>
        </w:numPr>
        <w:ind w:left="720" w:hanging="360"/>
        <w:rPr>
          <w:u w:val="none"/>
        </w:rPr>
      </w:pPr>
      <w:r w:rsidDel="00000000" w:rsidR="00000000" w:rsidRPr="00000000">
        <w:rPr>
          <w:b w:val="1"/>
          <w:bCs w:val="1"/>
          <w:rtl w:val="0"/>
        </w:rPr>
        <w:t xml:space="preserve">ArchiveHasher:</w:t>
      </w:r>
      <w:r w:rsidDel="00000000" w:rsidR="00000000" w:rsidRPr="00000000">
        <w:rPr>
          <w:rtl w:val="0"/>
        </w:rPr>
        <w:t xml:space="preserve">  Implements the AAMHS workflow for multi-hash suite generation.</w:t>
      </w:r>
    </w:p>
    <w:p w:rsidR="00000000" w:rsidDel="00000000" w:rsidP="00000000" w:rsidRDefault="00000000" w:rsidRPr="00000000" w14:paraId="0000002E">
      <w:pPr>
        <w:numPr>
          <w:ilvl w:val="0"/>
          <w:numId w:val="4"/>
        </w:numPr>
        <w:ind w:left="720" w:hanging="360"/>
        <w:rPr>
          <w:u w:val="none"/>
        </w:rPr>
      </w:pPr>
      <w:r w:rsidDel="00000000" w:rsidR="00000000" w:rsidRPr="00000000">
        <w:rPr>
          <w:b w:val="1"/>
          <w:bCs w:val="1"/>
          <w:rtl w:val="0"/>
        </w:rPr>
        <w:t xml:space="preserve">Training Datasets:</w:t>
      </w:r>
      <w:r w:rsidDel="00000000" w:rsidR="00000000" w:rsidRPr="00000000">
        <w:rPr>
          <w:rtl w:val="0"/>
        </w:rPr>
        <w:t xml:space="preserve">  Utilizes AAMHS-verified artifacts to ensure the integrity of AI fine-tuning data.</w:t>
      </w:r>
    </w:p>
    <w:p w:rsidR="00000000" w:rsidDel="00000000" w:rsidP="00000000" w:rsidRDefault="00000000" w:rsidRPr="00000000" w14:paraId="0000002F">
      <w:pPr>
        <w:numPr>
          <w:ilvl w:val="0"/>
          <w:numId w:val="4"/>
        </w:numPr>
        <w:ind w:left="720" w:hanging="360"/>
        <w:rPr>
          <w:b w:val="1"/>
          <w:bCs w:val="1"/>
        </w:rPr>
      </w:pPr>
      <w:r w:rsidDel="00000000" w:rsidR="00000000" w:rsidRPr="00000000">
        <w:rPr>
          <w:b w:val="1"/>
          <w:bCs w:val="1"/>
          <w:rtl w:val="0"/>
        </w:rPr>
        <w:t xml:space="preserve">DRS (Desktop Release Standard)</w:t>
      </w:r>
    </w:p>
    <w:p w:rsidR="00000000" w:rsidDel="00000000" w:rsidP="00000000" w:rsidRDefault="00000000" w:rsidRPr="00000000" w14:paraId="00000030">
      <w:pPr>
        <w:numPr>
          <w:ilvl w:val="0"/>
          <w:numId w:val="4"/>
        </w:numPr>
        <w:ind w:left="720" w:hanging="360"/>
        <w:rPr>
          <w:u w:val="none"/>
        </w:rPr>
      </w:pPr>
      <w:r w:rsidDel="00000000" w:rsidR="00000000" w:rsidRPr="00000000">
        <w:rPr>
          <w:b w:val="1"/>
          <w:bCs w:val="1"/>
          <w:rtl w:val="0"/>
        </w:rPr>
        <w:t xml:space="preserve">FileCabinet:</w:t>
      </w:r>
      <w:r w:rsidDel="00000000" w:rsidR="00000000" w:rsidRPr="00000000">
        <w:rPr>
          <w:rtl w:val="0"/>
        </w:rPr>
        <w:t xml:space="preserve">  Primary practitioner of DRS for artifact preservation and vault management.</w:t>
      </w:r>
    </w:p>
    <w:p w:rsidR="00000000" w:rsidDel="00000000" w:rsidP="00000000" w:rsidRDefault="00000000" w:rsidRPr="00000000" w14:paraId="00000031">
      <w:pPr>
        <w:numPr>
          <w:ilvl w:val="0"/>
          <w:numId w:val="4"/>
        </w:numPr>
        <w:ind w:left="720" w:hanging="360"/>
        <w:rPr>
          <w:u w:val="none"/>
        </w:rPr>
      </w:pPr>
      <w:r w:rsidDel="00000000" w:rsidR="00000000" w:rsidRPr="00000000">
        <w:rPr>
          <w:b w:val="1"/>
          <w:bCs w:val="1"/>
          <w:rtl w:val="0"/>
        </w:rPr>
        <w:t xml:space="preserve">Aegis:</w:t>
      </w:r>
      <w:r w:rsidDel="00000000" w:rsidR="00000000" w:rsidRPr="00000000">
        <w:rPr>
          <w:rtl w:val="0"/>
        </w:rPr>
        <w:t xml:space="preserve">  Employs DRS to govern post-quantum cryptographic keyring releases and vault security.The mandatory depends_on_projects and used_by_projects fields serve as "context anchors." These anchors prevent architectural entropy; even if a project remains paused for five years, these fields allow a future maintainer to instantly reconstruct the project's position within the broader production pipeline, ensuring long-term recoverability.</w:t>
      </w:r>
    </w:p>
    <w:p w:rsidR="00000000" w:rsidDel="00000000" w:rsidP="00000000" w:rsidRDefault="00000000" w:rsidRPr="00000000" w14:paraId="00000032">
      <w:pPr>
        <w:pStyle w:val="Heading5"/>
        <w:rPr/>
      </w:pPr>
      <w:bookmarkStart w:colFirst="0" w:colLast="0" w:name="_7rq4z4lk7eb4" w:id="4"/>
      <w:bookmarkEnd w:id="4"/>
      <w:r w:rsidDel="00000000" w:rsidR="00000000" w:rsidRPr="00000000">
        <w:rPr>
          <w:rtl w:val="0"/>
        </w:rPr>
        <w:t xml:space="preserve">4. Workspace Health Scoring and Agent Readiness</w:t>
      </w:r>
    </w:p>
    <w:p w:rsidR="00000000" w:rsidDel="00000000" w:rsidP="00000000" w:rsidRDefault="00000000" w:rsidRPr="00000000" w14:paraId="00000033">
      <w:pPr>
        <w:rPr/>
      </w:pPr>
      <w:r w:rsidDel="00000000" w:rsidR="00000000" w:rsidRPr="00000000">
        <w:rPr>
          <w:rtl w:val="0"/>
        </w:rPr>
        <w:t xml:space="preserve">Strategic governance requires moving from subjective assessment to objective measurement. The .evals directory on the D:\ drive serves as the centralized repository for automated audits and "Health Scores." These metrics provide a quantitative measure of project maturity and agent readiness, utilizing the  </w:t>
      </w:r>
      <w:r w:rsidDel="00000000" w:rsidR="00000000" w:rsidRPr="00000000">
        <w:rPr>
          <w:b w:val="1"/>
          <w:bCs w:val="1"/>
          <w:rtl w:val="0"/>
        </w:rPr>
        <w:t xml:space="preserve">SFDS Maturity Scale (Levels 0–4)</w:t>
      </w:r>
      <w:r w:rsidDel="00000000" w:rsidR="00000000" w:rsidRPr="00000000">
        <w:rPr>
          <w:rtl w:val="0"/>
        </w:rPr>
        <w:t xml:space="preserve">  to determine the reliability of the project's logic.| Metric | Definition | Impact on Agent Readiness || ------ | ------ | ------ || </w:t>
      </w:r>
      <w:r w:rsidDel="00000000" w:rsidR="00000000" w:rsidRPr="00000000">
        <w:rPr>
          <w:b w:val="1"/>
          <w:bCs w:val="1"/>
          <w:rtl w:val="0"/>
        </w:rPr>
        <w:t xml:space="preserve">Compliance Score</w:t>
      </w:r>
      <w:r w:rsidDel="00000000" w:rsidR="00000000" w:rsidRPr="00000000">
        <w:rPr>
          <w:rtl w:val="0"/>
        </w:rPr>
        <w:t xml:space="preserve"> | Adherence to WGS/DRS/CTS. Mapped directly to  </w:t>
      </w:r>
      <w:r w:rsidDel="00000000" w:rsidR="00000000" w:rsidRPr="00000000">
        <w:rPr>
          <w:b w:val="1"/>
          <w:bCs w:val="1"/>
          <w:rtl w:val="0"/>
        </w:rPr>
        <w:t xml:space="preserve">SFDS Maturity Levels 0-4</w:t>
      </w:r>
      <w:r w:rsidDel="00000000" w:rsidR="00000000" w:rsidRPr="00000000">
        <w:rPr>
          <w:rtl w:val="0"/>
        </w:rPr>
        <w:t xml:space="preserve"> . | </w:t>
      </w:r>
      <w:r w:rsidDel="00000000" w:rsidR="00000000" w:rsidRPr="00000000">
        <w:rPr>
          <w:b w:val="1"/>
          <w:bCs w:val="1"/>
          <w:rtl w:val="0"/>
        </w:rPr>
        <w:t xml:space="preserve">High:</w:t>
      </w:r>
      <w:r w:rsidDel="00000000" w:rsidR="00000000" w:rsidRPr="00000000">
        <w:rPr>
          <w:rtl w:val="0"/>
        </w:rPr>
        <w:t xml:space="preserve">  Determines if rules are "Concept" (L0) or "Reference" (L4). || </w:t>
      </w:r>
      <w:r w:rsidDel="00000000" w:rsidR="00000000" w:rsidRPr="00000000">
        <w:rPr>
          <w:b w:val="1"/>
          <w:bCs w:val="1"/>
          <w:rtl w:val="0"/>
        </w:rPr>
        <w:t xml:space="preserve">Documentation Score</w:t>
      </w:r>
      <w:r w:rsidDel="00000000" w:rsidR="00000000" w:rsidRPr="00000000">
        <w:rPr>
          <w:rtl w:val="0"/>
        </w:rPr>
        <w:t xml:space="preserve"> | Presence of the PROJECT.md ( </w:t>
      </w:r>
      <w:r w:rsidDel="00000000" w:rsidR="00000000" w:rsidRPr="00000000">
        <w:rPr>
          <w:b w:val="1"/>
          <w:bCs w:val="1"/>
          <w:rtl w:val="0"/>
        </w:rPr>
        <w:t xml:space="preserve">Identity Anchor</w:t>
      </w:r>
      <w:r w:rsidDel="00000000" w:rsidR="00000000" w:rsidRPr="00000000">
        <w:rPr>
          <w:rtl w:val="0"/>
        </w:rPr>
        <w:t xml:space="preserve"> ) and project.manifest.toml. | </w:t>
      </w:r>
      <w:r w:rsidDel="00000000" w:rsidR="00000000" w:rsidRPr="00000000">
        <w:rPr>
          <w:b w:val="1"/>
          <w:bCs w:val="1"/>
          <w:rtl w:val="0"/>
        </w:rPr>
        <w:t xml:space="preserve">Critical:</w:t>
      </w:r>
      <w:r w:rsidDel="00000000" w:rsidR="00000000" w:rsidRPr="00000000">
        <w:rPr>
          <w:rtl w:val="0"/>
        </w:rPr>
        <w:t xml:space="preserve">  Establishes design boundaries and prevents mission drift. || </w:t>
      </w:r>
      <w:r w:rsidDel="00000000" w:rsidR="00000000" w:rsidRPr="00000000">
        <w:rPr>
          <w:b w:val="1"/>
          <w:bCs w:val="1"/>
          <w:rtl w:val="0"/>
        </w:rPr>
        <w:t xml:space="preserve">Recovery Score</w:t>
      </w:r>
      <w:r w:rsidDel="00000000" w:rsidR="00000000" w:rsidRPr="00000000">
        <w:rPr>
          <w:rtl w:val="0"/>
        </w:rPr>
        <w:t xml:space="preserve"> | Capability to re-activate a project using  </w:t>
      </w:r>
      <w:r w:rsidDel="00000000" w:rsidR="00000000" w:rsidRPr="00000000">
        <w:rPr>
          <w:b w:val="1"/>
          <w:bCs w:val="1"/>
          <w:rtl w:val="0"/>
        </w:rPr>
        <w:t xml:space="preserve">PPS (Project Proposal Standard)</w:t>
      </w:r>
      <w:r w:rsidDel="00000000" w:rsidR="00000000" w:rsidRPr="00000000">
        <w:rPr>
          <w:rtl w:val="0"/>
        </w:rPr>
        <w:t xml:space="preserve">  data. | </w:t>
      </w:r>
      <w:r w:rsidDel="00000000" w:rsidR="00000000" w:rsidRPr="00000000">
        <w:rPr>
          <w:b w:val="1"/>
          <w:bCs w:val="1"/>
          <w:rtl w:val="0"/>
        </w:rPr>
        <w:t xml:space="preserve">Medium:</w:t>
      </w:r>
      <w:r w:rsidDel="00000000" w:rsidR="00000000" w:rsidRPr="00000000">
        <w:rPr>
          <w:rtl w:val="0"/>
        </w:rPr>
        <w:t xml:space="preserve">  Ensures long-term understanding after development pauses. || </w:t>
      </w:r>
      <w:r w:rsidDel="00000000" w:rsidR="00000000" w:rsidRPr="00000000">
        <w:rPr>
          <w:b w:val="1"/>
          <w:bCs w:val="1"/>
          <w:rtl w:val="0"/>
        </w:rPr>
        <w:t xml:space="preserve">Release Readiness</w:t>
      </w:r>
      <w:r w:rsidDel="00000000" w:rsidR="00000000" w:rsidRPr="00000000">
        <w:rPr>
          <w:rtl w:val="0"/>
        </w:rPr>
        <w:t xml:space="preserve"> | Verification of installers, SHA-256/BLAKE3 hashes, and signed release notes. | </w:t>
      </w:r>
      <w:r w:rsidDel="00000000" w:rsidR="00000000" w:rsidRPr="00000000">
        <w:rPr>
          <w:b w:val="1"/>
          <w:bCs w:val="1"/>
          <w:rtl w:val="0"/>
        </w:rPr>
        <w:t xml:space="preserve">High:</w:t>
      </w:r>
      <w:r w:rsidDel="00000000" w:rsidR="00000000" w:rsidRPr="00000000">
        <w:rPr>
          <w:rtl w:val="0"/>
        </w:rPr>
        <w:t xml:space="preserve">  Guards against "file drops" masquerading as governed releases. |</w:t>
      </w:r>
    </w:p>
    <w:p w:rsidR="00000000" w:rsidDel="00000000" w:rsidP="00000000" w:rsidRDefault="00000000" w:rsidRPr="00000000" w14:paraId="00000034">
      <w:pPr>
        <w:rPr/>
      </w:pPr>
      <w:r w:rsidDel="00000000" w:rsidR="00000000" w:rsidRPr="00000000">
        <w:rPr>
          <w:rtl w:val="0"/>
        </w:rPr>
        <w:t xml:space="preserve">To eliminate token waste and ensure 100% contextual alignment, agents are  </w:t>
      </w:r>
      <w:r w:rsidDel="00000000" w:rsidR="00000000" w:rsidRPr="00000000">
        <w:rPr>
          <w:b w:val="1"/>
          <w:bCs w:val="1"/>
          <w:rtl w:val="0"/>
        </w:rPr>
        <w:t xml:space="preserve">strictly prohibited from execution</w:t>
      </w:r>
      <w:r w:rsidDel="00000000" w:rsidR="00000000" w:rsidRPr="00000000">
        <w:rPr>
          <w:rtl w:val="0"/>
        </w:rPr>
        <w:t xml:space="preserve">  until the following  </w:t>
      </w:r>
      <w:r w:rsidDel="00000000" w:rsidR="00000000" w:rsidRPr="00000000">
        <w:rPr>
          <w:b w:val="1"/>
          <w:bCs w:val="1"/>
          <w:rtl w:val="0"/>
        </w:rPr>
        <w:t xml:space="preserve">Protocol for Governed Entry</w:t>
      </w:r>
      <w:r w:rsidDel="00000000" w:rsidR="00000000" w:rsidRPr="00000000">
        <w:rPr>
          <w:rtl w:val="0"/>
        </w:rPr>
        <w:t xml:space="preserve">  is verified:</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  </w:t>
      </w:r>
      <w:r w:rsidDel="00000000" w:rsidR="00000000" w:rsidRPr="00000000">
        <w:rPr>
          <w:b w:val="1"/>
          <w:bCs w:val="1"/>
          <w:rtl w:val="0"/>
        </w:rPr>
        <w:t xml:space="preserve">Read Workspace Manifest:</w:t>
      </w:r>
      <w:r w:rsidDel="00000000" w:rsidR="00000000" w:rsidRPr="00000000">
        <w:rPr>
          <w:rtl w:val="0"/>
        </w:rPr>
        <w:t xml:space="preserve">  Comprehend the current ecosystem inventory and drive taxonomy.</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  </w:t>
      </w:r>
      <w:r w:rsidDel="00000000" w:rsidR="00000000" w:rsidRPr="00000000">
        <w:rPr>
          <w:b w:val="1"/>
          <w:bCs w:val="1"/>
          <w:rtl w:val="0"/>
        </w:rPr>
        <w:t xml:space="preserve">Read Project Manifest:</w:t>
      </w:r>
      <w:r w:rsidDel="00000000" w:rsidR="00000000" w:rsidRPr="00000000">
        <w:rPr>
          <w:rtl w:val="0"/>
        </w:rPr>
        <w:t xml:space="preserve">  Identify project type, governing standard (DRS/CTS), and runtime requirements.</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  </w:t>
      </w:r>
      <w:r w:rsidDel="00000000" w:rsidR="00000000" w:rsidRPr="00000000">
        <w:rPr>
          <w:b w:val="1"/>
          <w:bCs w:val="1"/>
          <w:rtl w:val="0"/>
        </w:rPr>
        <w:t xml:space="preserve">Read PROJECT.md:</w:t>
      </w:r>
      <w:r w:rsidDel="00000000" w:rsidR="00000000" w:rsidRPr="00000000">
        <w:rPr>
          <w:rtl w:val="0"/>
        </w:rPr>
        <w:t xml:space="preserve">  Absorb the project’s mission and strict design boundaries via the  </w:t>
      </w:r>
      <w:r w:rsidDel="00000000" w:rsidR="00000000" w:rsidRPr="00000000">
        <w:rPr>
          <w:b w:val="1"/>
          <w:bCs w:val="1"/>
          <w:rtl w:val="0"/>
        </w:rPr>
        <w:t xml:space="preserve">Identity Anchor</w:t>
      </w:r>
      <w:r w:rsidDel="00000000" w:rsidR="00000000" w:rsidRPr="00000000">
        <w:rPr>
          <w:rtl w:val="0"/>
        </w:rPr>
        <w:t xml:space="preserve"> .</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  </w:t>
      </w:r>
      <w:r w:rsidDel="00000000" w:rsidR="00000000" w:rsidRPr="00000000">
        <w:rPr>
          <w:b w:val="1"/>
          <w:bCs w:val="1"/>
          <w:rtl w:val="0"/>
        </w:rPr>
        <w:t xml:space="preserve">Read Governing Standard:</w:t>
      </w:r>
      <w:r w:rsidDel="00000000" w:rsidR="00000000" w:rsidRPr="00000000">
        <w:rPr>
          <w:rtl w:val="0"/>
        </w:rPr>
        <w:t xml:space="preserve">  Identify required output schemas, exit codes, and validation rules.</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  </w:t>
      </w:r>
      <w:r w:rsidDel="00000000" w:rsidR="00000000" w:rsidRPr="00000000">
        <w:rPr>
          <w:b w:val="1"/>
          <w:bCs w:val="1"/>
          <w:rtl w:val="0"/>
        </w:rPr>
        <w:t xml:space="preserve">Read Roadmap:</w:t>
      </w:r>
      <w:r w:rsidDel="00000000" w:rsidR="00000000" w:rsidRPr="00000000">
        <w:rPr>
          <w:rtl w:val="0"/>
        </w:rPr>
        <w:t xml:space="preserve">  Determine the current project phase (from "Data Spine" to "Release Prep").</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  </w:t>
      </w:r>
      <w:r w:rsidDel="00000000" w:rsidR="00000000" w:rsidRPr="00000000">
        <w:rPr>
          <w:b w:val="1"/>
          <w:bCs w:val="1"/>
          <w:rtl w:val="0"/>
        </w:rPr>
        <w:t xml:space="preserve">Acknowledge Guardrails:</w:t>
      </w:r>
      <w:r w:rsidDel="00000000" w:rsidR="00000000" w:rsidRPr="00000000">
        <w:rPr>
          <w:rtl w:val="0"/>
        </w:rPr>
        <w:t xml:space="preserve">  Verify "Agent Rules" to ensure no unauthorized architectural modifications are proposed.</w:t>
      </w:r>
    </w:p>
    <w:p w:rsidR="00000000" w:rsidDel="00000000" w:rsidP="00000000" w:rsidRDefault="00000000" w:rsidRPr="00000000" w14:paraId="0000003B">
      <w:pPr>
        <w:pStyle w:val="Heading5"/>
        <w:rPr/>
      </w:pPr>
      <w:bookmarkStart w:colFirst="0" w:colLast="0" w:name="_6dxrc7vm4cdw" w:id="5"/>
      <w:bookmarkEnd w:id="5"/>
      <w:r w:rsidDel="00000000" w:rsidR="00000000" w:rsidRPr="00000000">
        <w:rPr>
          <w:rtl w:val="0"/>
        </w:rPr>
        <w:t xml:space="preserve">5. Synthesis: The Self-Describing Software Ecosystem</w:t>
      </w:r>
    </w:p>
    <w:p w:rsidR="00000000" w:rsidDel="00000000" w:rsidP="00000000" w:rsidRDefault="00000000" w:rsidRPr="00000000" w14:paraId="0000003C">
      <w:pPr>
        <w:rPr>
          <w:b w:val="1"/>
          <w:bCs w:val="1"/>
        </w:rPr>
      </w:pPr>
      <w:r w:rsidDel="00000000" w:rsidR="00000000" w:rsidRPr="00000000">
        <w:rPr>
          <w:rtl w:val="0"/>
        </w:rPr>
        <w:t xml:space="preserve">The final objective of Aptlantis governance is the transition from a "collection of applications" to a durable, multi-generational software ecosystem. By standardizing the lifecycle of every project—from the initial proposal to final archival—we create a workspace that describes itself to any observer, human or machine.</w:t>
      </w:r>
      <w:r w:rsidDel="00000000" w:rsidR="00000000" w:rsidRPr="00000000">
        <w:rPr>
          <w:b w:val="1"/>
          <w:bCs w:val="1"/>
          <w:rtl w:val="0"/>
        </w:rPr>
        <w:t xml:space="preserve">The Aptlantis Ecosystem Manifesto</w:t>
      </w:r>
    </w:p>
    <w:p w:rsidR="00000000" w:rsidDel="00000000" w:rsidP="00000000" w:rsidRDefault="00000000" w:rsidRPr="00000000" w14:paraId="0000003D">
      <w:pPr>
        <w:numPr>
          <w:ilvl w:val="0"/>
          <w:numId w:val="1"/>
        </w:numPr>
        <w:ind w:left="720" w:hanging="360"/>
        <w:rPr>
          <w:u w:val="none"/>
        </w:rPr>
      </w:pPr>
      <w:r w:rsidDel="00000000" w:rsidR="00000000" w:rsidRPr="00000000">
        <w:rPr>
          <w:b w:val="1"/>
          <w:bCs w:val="1"/>
          <w:rtl w:val="0"/>
        </w:rPr>
        <w:t xml:space="preserve">What it is:</w:t>
      </w:r>
      <w:r w:rsidDel="00000000" w:rsidR="00000000" w:rsidRPr="00000000">
        <w:rPr>
          <w:rtl w:val="0"/>
        </w:rPr>
        <w:t xml:space="preserve">  A governed workshop where every tool has a frozen mission and a documented path.</w:t>
      </w:r>
    </w:p>
    <w:p w:rsidR="00000000" w:rsidDel="00000000" w:rsidP="00000000" w:rsidRDefault="00000000" w:rsidRPr="00000000" w14:paraId="0000003E">
      <w:pPr>
        <w:numPr>
          <w:ilvl w:val="0"/>
          <w:numId w:val="1"/>
        </w:numPr>
        <w:ind w:left="720" w:hanging="360"/>
        <w:rPr>
          <w:u w:val="none"/>
        </w:rPr>
      </w:pPr>
      <w:r w:rsidDel="00000000" w:rsidR="00000000" w:rsidRPr="00000000">
        <w:rPr>
          <w:b w:val="1"/>
          <w:bCs w:val="1"/>
          <w:rtl w:val="0"/>
        </w:rPr>
        <w:t xml:space="preserve">What it isn't:</w:t>
      </w:r>
      <w:r w:rsidDel="00000000" w:rsidR="00000000" w:rsidRPr="00000000">
        <w:rPr>
          <w:rtl w:val="0"/>
        </w:rPr>
        <w:t xml:space="preserve">  A graveyard of prototypes abandoned once initial enthusiasm fades.</w:t>
      </w:r>
    </w:p>
    <w:p w:rsidR="00000000" w:rsidDel="00000000" w:rsidP="00000000" w:rsidRDefault="00000000" w:rsidRPr="00000000" w14:paraId="0000003F">
      <w:pPr>
        <w:numPr>
          <w:ilvl w:val="0"/>
          <w:numId w:val="1"/>
        </w:numPr>
        <w:ind w:left="720" w:hanging="360"/>
        <w:rPr>
          <w:u w:val="none"/>
        </w:rPr>
      </w:pPr>
      <w:r w:rsidDel="00000000" w:rsidR="00000000" w:rsidRPr="00000000">
        <w:rPr>
          <w:b w:val="1"/>
          <w:bCs w:val="1"/>
          <w:rtl w:val="0"/>
        </w:rPr>
        <w:t xml:space="preserve">What it is:</w:t>
      </w:r>
      <w:r w:rsidDel="00000000" w:rsidR="00000000" w:rsidRPr="00000000">
        <w:rPr>
          <w:rtl w:val="0"/>
        </w:rPr>
        <w:t xml:space="preserve">  A system of decision reduction that allows focus to remain on technical problem-solving.</w:t>
      </w:r>
    </w:p>
    <w:p w:rsidR="00000000" w:rsidDel="00000000" w:rsidP="00000000" w:rsidRDefault="00000000" w:rsidRPr="00000000" w14:paraId="00000040">
      <w:pPr>
        <w:numPr>
          <w:ilvl w:val="0"/>
          <w:numId w:val="1"/>
        </w:numPr>
        <w:ind w:left="720" w:hanging="360"/>
        <w:rPr>
          <w:u w:val="none"/>
        </w:rPr>
      </w:pPr>
      <w:r w:rsidDel="00000000" w:rsidR="00000000" w:rsidRPr="00000000">
        <w:rPr>
          <w:b w:val="1"/>
          <w:bCs w:val="1"/>
          <w:rtl w:val="0"/>
        </w:rPr>
        <w:t xml:space="preserve">What it isn't:</w:t>
      </w:r>
      <w:r w:rsidDel="00000000" w:rsidR="00000000" w:rsidRPr="00000000">
        <w:rPr>
          <w:rtl w:val="0"/>
        </w:rPr>
        <w:t xml:space="preserve">  A bureaucracy of empty documents;  </w:t>
      </w:r>
      <w:r w:rsidDel="00000000" w:rsidR="00000000" w:rsidRPr="00000000">
        <w:rPr>
          <w:b w:val="1"/>
          <w:bCs w:val="1"/>
          <w:rtl w:val="0"/>
        </w:rPr>
        <w:t xml:space="preserve">"The specification defines the rules, the examples demonstrate the rules, the validator proves the rules."</w:t>
      </w:r>
      <w:r w:rsidDel="00000000" w:rsidR="00000000" w:rsidRPr="00000000">
        <w:rPr>
          <w:rtl w:val="0"/>
        </w:rPr>
        <w:t xml:space="preserve">The long-term value of this framework lies in  </w:t>
      </w:r>
      <w:r w:rsidDel="00000000" w:rsidR="00000000" w:rsidRPr="00000000">
        <w:rPr>
          <w:b w:val="1"/>
          <w:bCs w:val="1"/>
          <w:rtl w:val="0"/>
        </w:rPr>
        <w:t xml:space="preserve">Decision Reduction</w:t>
      </w:r>
      <w:r w:rsidDel="00000000" w:rsidR="00000000" w:rsidRPr="00000000">
        <w:rPr>
          <w:rtl w:val="0"/>
        </w:rPr>
        <w:t xml:space="preserve"> . By pre-defining the structure and documentation for every project class, we remove the need for a maintainer to re-decide "how" to build, allowing energy to be focused entirely on "what" is being solved. This ensures  </w:t>
      </w:r>
      <w:r w:rsidDel="00000000" w:rsidR="00000000" w:rsidRPr="00000000">
        <w:rPr>
          <w:b w:val="1"/>
          <w:bCs w:val="1"/>
          <w:rtl w:val="0"/>
        </w:rPr>
        <w:t xml:space="preserve">Context Preservation</w:t>
      </w:r>
      <w:r w:rsidDel="00000000" w:rsidR="00000000" w:rsidRPr="00000000">
        <w:rPr>
          <w:rtl w:val="0"/>
        </w:rPr>
        <w:t xml:space="preserve"> : the Aptlantis workspace is designed to remain understandable and recoverable five years from now, even in the absence of the original author. By operationalizing these standards, we secure a self-describing legacy of durable software.</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